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E08B" w14:textId="5C6EC712" w:rsidR="0090488A" w:rsidRDefault="00077F26" w:rsidP="0066781A">
      <w:pPr>
        <w:spacing w:line="320" w:lineRule="exact"/>
      </w:pPr>
      <w:r w:rsidRPr="00077F26">
        <w:rPr>
          <w:rFonts w:hint="eastAsia"/>
        </w:rPr>
        <w:t>株式会社エヌ・ティ・ティ・データ御中</w:t>
      </w:r>
    </w:p>
    <w:p w14:paraId="4E2CF875" w14:textId="0BF5BD9F" w:rsidR="00DA5A91" w:rsidRDefault="00DA5A91" w:rsidP="0066781A">
      <w:pPr>
        <w:spacing w:line="320" w:lineRule="exact"/>
        <w:jc w:val="right"/>
      </w:pPr>
    </w:p>
    <w:p w14:paraId="6D7845F7" w14:textId="77777777" w:rsidR="0066781A" w:rsidRPr="006D7F74" w:rsidRDefault="0066781A" w:rsidP="0066781A">
      <w:pPr>
        <w:spacing w:line="320" w:lineRule="exact"/>
        <w:jc w:val="right"/>
      </w:pPr>
    </w:p>
    <w:p w14:paraId="2E4470AE" w14:textId="4E6D484E" w:rsidR="00DA5A91" w:rsidRDefault="00773C52" w:rsidP="0066781A">
      <w:pPr>
        <w:spacing w:line="320" w:lineRule="exact"/>
        <w:ind w:leftChars="202" w:left="424" w:rightChars="269" w:right="565"/>
        <w:jc w:val="center"/>
      </w:pPr>
      <w:bookmarkStart w:id="0" w:name="_GoBack"/>
      <w:r w:rsidRPr="00773C52">
        <w:rPr>
          <w:rFonts w:hint="eastAsia"/>
        </w:rPr>
        <w:t>「</w:t>
      </w:r>
      <w:r w:rsidRPr="00773C52">
        <w:t>NTTデータグループサプライチェーンサステナビリティ推進ガイドライン」の遵守に関する同意書</w:t>
      </w:r>
    </w:p>
    <w:bookmarkEnd w:id="0"/>
    <w:p w14:paraId="0A2BF52A" w14:textId="3A210054" w:rsidR="00DA5A91" w:rsidRDefault="00DA5A91" w:rsidP="0066781A">
      <w:pPr>
        <w:spacing w:line="320" w:lineRule="exact"/>
        <w:jc w:val="left"/>
      </w:pPr>
    </w:p>
    <w:p w14:paraId="1F166A10" w14:textId="77777777" w:rsidR="0066781A" w:rsidRDefault="0066781A" w:rsidP="0066781A">
      <w:pPr>
        <w:spacing w:line="320" w:lineRule="exact"/>
        <w:jc w:val="left"/>
      </w:pPr>
    </w:p>
    <w:p w14:paraId="21A9368F" w14:textId="049A753F" w:rsidR="005730CD" w:rsidRDefault="00773C52" w:rsidP="0066781A">
      <w:pPr>
        <w:spacing w:line="320" w:lineRule="exact"/>
        <w:ind w:firstLineChars="135" w:firstLine="283"/>
        <w:jc w:val="left"/>
      </w:pPr>
      <w:commentRangeStart w:id="1"/>
      <w:r w:rsidRPr="00773C52">
        <w:rPr>
          <w:rFonts w:hint="eastAsia"/>
        </w:rPr>
        <w:t>株式会社●●●</w:t>
      </w:r>
      <w:commentRangeEnd w:id="1"/>
      <w:r w:rsidR="00642F1B">
        <w:rPr>
          <w:rStyle w:val="aa"/>
        </w:rPr>
        <w:commentReference w:id="1"/>
      </w:r>
      <w:r w:rsidRPr="00773C52">
        <w:rPr>
          <w:rFonts w:hint="eastAsia"/>
        </w:rPr>
        <w:t>（以下「当社」という。）は、株式会社エヌ・ティ・ティ</w:t>
      </w:r>
      <w:r>
        <w:rPr>
          <w:rFonts w:hint="eastAsia"/>
        </w:rPr>
        <w:t>・</w:t>
      </w:r>
      <w:r w:rsidRPr="00773C52">
        <w:rPr>
          <w:rFonts w:hint="eastAsia"/>
        </w:rPr>
        <w:t>データ及びその</w:t>
      </w:r>
      <w:r w:rsidR="00F30EEE">
        <w:rPr>
          <w:rFonts w:hint="eastAsia"/>
        </w:rPr>
        <w:t>国内</w:t>
      </w:r>
      <w:r w:rsidRPr="00773C52">
        <w:rPr>
          <w:rFonts w:hint="eastAsia"/>
        </w:rPr>
        <w:t>グループ会社</w:t>
      </w:r>
      <w:r w:rsidR="00F87058">
        <w:rPr>
          <w:rFonts w:hint="eastAsia"/>
        </w:rPr>
        <w:t>（*</w:t>
      </w:r>
      <w:r w:rsidR="00F87058">
        <w:t>1</w:t>
      </w:r>
      <w:r w:rsidR="00F87058">
        <w:rPr>
          <w:rFonts w:hint="eastAsia"/>
        </w:rPr>
        <w:t>）</w:t>
      </w:r>
      <w:r w:rsidRPr="00773C52">
        <w:rPr>
          <w:rFonts w:hint="eastAsia"/>
        </w:rPr>
        <w:t>（以下「</w:t>
      </w:r>
      <w:r w:rsidRPr="00773C52">
        <w:t>NTTデータグループ各社」という。）を発注者とする取引を行うにあたり、以下の内容を確認し、遵守することに同意します。</w:t>
      </w:r>
    </w:p>
    <w:p w14:paraId="4545A523" w14:textId="62304917" w:rsidR="00F87058" w:rsidRDefault="00F87058" w:rsidP="0066781A">
      <w:pPr>
        <w:spacing w:line="320" w:lineRule="exact"/>
        <w:ind w:firstLineChars="135" w:firstLine="283"/>
        <w:jc w:val="left"/>
      </w:pPr>
      <w:r>
        <w:t>(</w:t>
      </w:r>
      <w:r>
        <w:rPr>
          <w:rFonts w:hint="eastAsia"/>
        </w:rPr>
        <w:t>*</w:t>
      </w:r>
      <w:r>
        <w:t>1)</w:t>
      </w:r>
      <w:r w:rsidR="00F30EEE">
        <w:rPr>
          <w:rFonts w:hint="eastAsia"/>
        </w:rPr>
        <w:t>国内</w:t>
      </w:r>
      <w:r>
        <w:rPr>
          <w:rFonts w:hint="eastAsia"/>
        </w:rPr>
        <w:t>グループ会社</w:t>
      </w:r>
      <w:r w:rsidR="00F30EEE">
        <w:rPr>
          <w:rFonts w:hint="eastAsia"/>
        </w:rPr>
        <w:t>と</w:t>
      </w:r>
      <w:r>
        <w:rPr>
          <w:rFonts w:hint="eastAsia"/>
        </w:rPr>
        <w:t>は、以下のU</w:t>
      </w:r>
      <w:r>
        <w:t>RL</w:t>
      </w:r>
      <w:r>
        <w:rPr>
          <w:rFonts w:hint="eastAsia"/>
        </w:rPr>
        <w:t>に記載</w:t>
      </w:r>
      <w:r w:rsidR="00F30EEE">
        <w:rPr>
          <w:rFonts w:hint="eastAsia"/>
        </w:rPr>
        <w:t>されている、日本国内に本店所在地がある会社をいいます。</w:t>
      </w:r>
    </w:p>
    <w:p w14:paraId="53B97028" w14:textId="77777777" w:rsidR="004542CB" w:rsidRDefault="001C61C6" w:rsidP="00F87058">
      <w:pPr>
        <w:spacing w:line="320" w:lineRule="exact"/>
        <w:ind w:firstLineChars="334" w:firstLine="701"/>
        <w:jc w:val="left"/>
      </w:pPr>
      <w:hyperlink r:id="rId10" w:history="1">
        <w:r w:rsidR="004542CB" w:rsidRPr="0066562D">
          <w:rPr>
            <w:rStyle w:val="af3"/>
          </w:rPr>
          <w:t>https://www.nttdata.com/jp/ja/about-us/group/</w:t>
        </w:r>
      </w:hyperlink>
    </w:p>
    <w:p w14:paraId="2C30E9A0" w14:textId="77777777" w:rsidR="005730CD" w:rsidRPr="00422F1B" w:rsidRDefault="005730CD" w:rsidP="0066781A">
      <w:pPr>
        <w:spacing w:line="320" w:lineRule="exact"/>
        <w:jc w:val="left"/>
      </w:pPr>
    </w:p>
    <w:p w14:paraId="3D31EB78" w14:textId="77777777" w:rsidR="0066781A" w:rsidRDefault="0066781A" w:rsidP="0066781A">
      <w:pPr>
        <w:pStyle w:val="a5"/>
        <w:numPr>
          <w:ilvl w:val="0"/>
          <w:numId w:val="1"/>
        </w:numPr>
        <w:spacing w:line="320" w:lineRule="exact"/>
        <w:ind w:leftChars="0"/>
        <w:jc w:val="left"/>
        <w:sectPr w:rsidR="0066781A" w:rsidSect="00837424">
          <w:headerReference w:type="default" r:id="rId11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651B59F6" w14:textId="7C7C0753" w:rsidR="002354E2" w:rsidRPr="00CA6ADB" w:rsidRDefault="00773C52" w:rsidP="0066781A">
      <w:pPr>
        <w:pStyle w:val="a5"/>
        <w:numPr>
          <w:ilvl w:val="0"/>
          <w:numId w:val="1"/>
        </w:numPr>
        <w:spacing w:line="240" w:lineRule="exact"/>
        <w:ind w:leftChars="0"/>
        <w:jc w:val="left"/>
        <w:rPr>
          <w:sz w:val="20"/>
          <w:szCs w:val="20"/>
        </w:rPr>
      </w:pPr>
      <w:r w:rsidRPr="00CA6ADB">
        <w:rPr>
          <w:rFonts w:hint="eastAsia"/>
          <w:sz w:val="20"/>
          <w:szCs w:val="20"/>
        </w:rPr>
        <w:t>当社は、「</w:t>
      </w:r>
      <w:r w:rsidRPr="00CA6ADB">
        <w:rPr>
          <w:sz w:val="20"/>
          <w:szCs w:val="20"/>
        </w:rPr>
        <w:t>NTTデータグループサプライチェーンサステナビリティ推進ガイドライン」（以下「ガイドライン」という。）の内容を確認し、遵守します。なお、以下のURL上でガイドラインの更新が公表された場合、当社はその内容を確認し、常に最新版の内容を遵守するものとします。</w:t>
      </w:r>
    </w:p>
    <w:p w14:paraId="5D112E3F" w14:textId="574BEB96" w:rsidR="00146A10" w:rsidRPr="00CA6ADB" w:rsidRDefault="001C61C6" w:rsidP="0066781A">
      <w:pPr>
        <w:pStyle w:val="a5"/>
        <w:spacing w:line="240" w:lineRule="exact"/>
        <w:ind w:leftChars="0" w:left="420" w:firstLineChars="100" w:firstLine="210"/>
        <w:jc w:val="left"/>
        <w:rPr>
          <w:sz w:val="20"/>
          <w:szCs w:val="20"/>
        </w:rPr>
      </w:pPr>
      <w:hyperlink r:id="rId12" w:history="1">
        <w:r w:rsidR="00146A10" w:rsidRPr="00CA6ADB">
          <w:rPr>
            <w:rStyle w:val="af3"/>
            <w:sz w:val="20"/>
            <w:szCs w:val="20"/>
          </w:rPr>
          <w:t>https://www.nttdata.com/jp/ja/about-us/proc/procurement/</w:t>
        </w:r>
      </w:hyperlink>
    </w:p>
    <w:p w14:paraId="7E2DA6E9" w14:textId="37C0C401" w:rsidR="00F33805" w:rsidRPr="00CA6ADB" w:rsidRDefault="00773C52" w:rsidP="0066781A">
      <w:pPr>
        <w:pStyle w:val="a5"/>
        <w:numPr>
          <w:ilvl w:val="0"/>
          <w:numId w:val="1"/>
        </w:numPr>
        <w:spacing w:line="240" w:lineRule="exact"/>
        <w:ind w:leftChars="0"/>
        <w:jc w:val="left"/>
        <w:rPr>
          <w:sz w:val="20"/>
          <w:szCs w:val="20"/>
        </w:rPr>
      </w:pPr>
      <w:r w:rsidRPr="00CA6ADB">
        <w:rPr>
          <w:sz w:val="20"/>
          <w:szCs w:val="20"/>
        </w:rPr>
        <w:t>当社は、本同意書に基づき自らが負うこととなる義務と同等の義務を、NTTデータグループ各社との取引における業務実施のために必要となる物品、保守業務を含む役務等を当社に提供するすべての者（再委託先等先含む。以下総称して「上流サプライヤー」という。）に課すものとします。</w:t>
      </w:r>
    </w:p>
    <w:p w14:paraId="38693B8C" w14:textId="777380B7" w:rsidR="00F33805" w:rsidRPr="00CA6ADB" w:rsidRDefault="00773C52" w:rsidP="0066781A">
      <w:pPr>
        <w:pStyle w:val="a5"/>
        <w:numPr>
          <w:ilvl w:val="0"/>
          <w:numId w:val="1"/>
        </w:numPr>
        <w:spacing w:line="240" w:lineRule="exact"/>
        <w:ind w:leftChars="0"/>
        <w:jc w:val="left"/>
        <w:rPr>
          <w:sz w:val="20"/>
          <w:szCs w:val="20"/>
        </w:rPr>
      </w:pPr>
      <w:r w:rsidRPr="00CA6ADB">
        <w:rPr>
          <w:sz w:val="20"/>
          <w:szCs w:val="20"/>
        </w:rPr>
        <w:t>当社は、上流サプライヤーがガイドラインを遵守することを保証するとともに、上流サプライヤーの行為について、一切の責任を負うものとします。</w:t>
      </w:r>
    </w:p>
    <w:p w14:paraId="724B3A67" w14:textId="77777777" w:rsidR="0066781A" w:rsidRPr="00CA6ADB" w:rsidRDefault="0066781A" w:rsidP="0066781A">
      <w:pPr>
        <w:pStyle w:val="a5"/>
        <w:numPr>
          <w:ilvl w:val="0"/>
          <w:numId w:val="1"/>
        </w:numPr>
        <w:spacing w:line="240" w:lineRule="exact"/>
        <w:ind w:leftChars="0"/>
        <w:jc w:val="left"/>
        <w:rPr>
          <w:sz w:val="20"/>
          <w:szCs w:val="20"/>
        </w:rPr>
      </w:pPr>
      <w:r w:rsidRPr="00CA6ADB">
        <w:rPr>
          <w:sz w:val="20"/>
          <w:szCs w:val="20"/>
        </w:rPr>
        <w:t>NTTデータグループ各社は、当社のガイドライン等の遵守状況について、自ら又は第三者に委託して調査することができるものとします。</w:t>
      </w:r>
    </w:p>
    <w:p w14:paraId="79F5D445" w14:textId="5F458833" w:rsidR="00F33805" w:rsidRPr="00CA6ADB" w:rsidRDefault="0066781A" w:rsidP="0066781A">
      <w:pPr>
        <w:pStyle w:val="a5"/>
        <w:numPr>
          <w:ilvl w:val="0"/>
          <w:numId w:val="1"/>
        </w:numPr>
        <w:spacing w:line="240" w:lineRule="exact"/>
        <w:ind w:leftChars="0"/>
        <w:jc w:val="left"/>
        <w:rPr>
          <w:sz w:val="20"/>
          <w:szCs w:val="20"/>
        </w:rPr>
      </w:pPr>
      <w:r w:rsidRPr="00CA6ADB">
        <w:rPr>
          <w:sz w:val="20"/>
          <w:szCs w:val="20"/>
        </w:rPr>
        <w:t>NTTデータグループ各社は、自ら締結した当社との取引にかかる契約の終了後においても、前項の調査を実施できることとし、当該調査にかかる費用の負担割合については、当社及び調査を実施した</w:t>
      </w:r>
      <w:proofErr w:type="spellStart"/>
      <w:r w:rsidRPr="00CA6ADB">
        <w:rPr>
          <w:sz w:val="20"/>
          <w:szCs w:val="20"/>
        </w:rPr>
        <w:t>NTT</w:t>
      </w:r>
      <w:proofErr w:type="spellEnd"/>
      <w:r w:rsidRPr="00CA6ADB">
        <w:rPr>
          <w:sz w:val="20"/>
          <w:szCs w:val="20"/>
        </w:rPr>
        <w:t>データグループ各社で折半することを原則として、両者の協議により決定するものとします。</w:t>
      </w:r>
    </w:p>
    <w:p w14:paraId="70EBEE8A" w14:textId="4381263D" w:rsidR="0066781A" w:rsidRPr="00CA6ADB" w:rsidRDefault="0066781A" w:rsidP="0066781A">
      <w:pPr>
        <w:pStyle w:val="a5"/>
        <w:numPr>
          <w:ilvl w:val="0"/>
          <w:numId w:val="1"/>
        </w:numPr>
        <w:spacing w:line="240" w:lineRule="exact"/>
        <w:ind w:leftChars="0"/>
        <w:jc w:val="left"/>
        <w:rPr>
          <w:sz w:val="20"/>
          <w:szCs w:val="20"/>
        </w:rPr>
      </w:pPr>
      <w:r w:rsidRPr="00CA6ADB">
        <w:rPr>
          <w:sz w:val="20"/>
          <w:szCs w:val="20"/>
        </w:rPr>
        <w:t>当社のガイドライン又は本同意書の違反が判明した場合、NTTデータグループ各社は、当社との契約を解除することができるものとします。ただし、当該契約の解除にあたり、NTTデータグループ各社は、その裁量により、当該違反の性質または状況に照らし、当社による当該違反是正について、相当期間を定めた催告を行うことができるものとします。</w:t>
      </w:r>
    </w:p>
    <w:p w14:paraId="4AC9A098" w14:textId="540376FF" w:rsidR="00224B00" w:rsidRPr="00CA6ADB" w:rsidRDefault="0066781A" w:rsidP="0066781A">
      <w:pPr>
        <w:pStyle w:val="a5"/>
        <w:numPr>
          <w:ilvl w:val="0"/>
          <w:numId w:val="1"/>
        </w:numPr>
        <w:spacing w:line="240" w:lineRule="exact"/>
        <w:ind w:leftChars="0"/>
        <w:jc w:val="left"/>
        <w:rPr>
          <w:sz w:val="20"/>
          <w:szCs w:val="20"/>
        </w:rPr>
      </w:pPr>
      <w:r w:rsidRPr="00CA6ADB">
        <w:rPr>
          <w:sz w:val="20"/>
          <w:szCs w:val="20"/>
        </w:rPr>
        <w:t>前項に基づく契約解除により、当社に損害が発生した場合であっても、NTTデータグループ各社はその損害賠償</w:t>
      </w:r>
      <w:r w:rsidR="00AB39AF">
        <w:rPr>
          <w:sz w:val="20"/>
          <w:szCs w:val="20"/>
        </w:rPr>
        <w:t>義務を負わないものとします。また、前項に基づく契約解除により</w:t>
      </w:r>
      <w:r w:rsidR="00AB39AF">
        <w:rPr>
          <w:rFonts w:hint="eastAsia"/>
          <w:sz w:val="20"/>
          <w:szCs w:val="20"/>
        </w:rPr>
        <w:t>上流</w:t>
      </w:r>
      <w:r w:rsidRPr="00CA6ADB">
        <w:rPr>
          <w:sz w:val="20"/>
          <w:szCs w:val="20"/>
        </w:rPr>
        <w:t>サプライヤーを含む第三者に生じた損害については、当社が責任を負うものと</w:t>
      </w:r>
      <w:r w:rsidR="00255CDE" w:rsidRPr="00CA6ADB">
        <w:rPr>
          <w:rFonts w:hint="eastAsia"/>
          <w:sz w:val="20"/>
          <w:szCs w:val="20"/>
        </w:rPr>
        <w:t>し</w:t>
      </w:r>
      <w:r w:rsidRPr="00CA6ADB">
        <w:rPr>
          <w:sz w:val="20"/>
          <w:szCs w:val="20"/>
        </w:rPr>
        <w:t>ます。</w:t>
      </w:r>
    </w:p>
    <w:p w14:paraId="3422D763" w14:textId="77777777" w:rsidR="00224B00" w:rsidRPr="00CA6ADB" w:rsidRDefault="00224B00" w:rsidP="0066781A">
      <w:pPr>
        <w:pStyle w:val="af1"/>
        <w:spacing w:line="240" w:lineRule="exact"/>
        <w:rPr>
          <w:sz w:val="20"/>
          <w:szCs w:val="20"/>
        </w:rPr>
      </w:pPr>
      <w:r w:rsidRPr="00CA6ADB">
        <w:rPr>
          <w:rFonts w:hint="eastAsia"/>
          <w:sz w:val="20"/>
          <w:szCs w:val="20"/>
        </w:rPr>
        <w:t>以上</w:t>
      </w:r>
    </w:p>
    <w:p w14:paraId="463D4560" w14:textId="77777777" w:rsidR="0066781A" w:rsidRPr="00CA6ADB" w:rsidRDefault="0066781A" w:rsidP="0066781A">
      <w:pPr>
        <w:pStyle w:val="a5"/>
        <w:spacing w:line="240" w:lineRule="exact"/>
        <w:ind w:leftChars="0" w:left="420"/>
        <w:jc w:val="left"/>
        <w:rPr>
          <w:sz w:val="20"/>
          <w:szCs w:val="20"/>
        </w:rPr>
        <w:sectPr w:rsidR="0066781A" w:rsidRPr="00CA6ADB" w:rsidSect="0066781A">
          <w:type w:val="continuous"/>
          <w:pgSz w:w="11906" w:h="16838"/>
          <w:pgMar w:top="1701" w:right="1701" w:bottom="1701" w:left="1701" w:header="851" w:footer="992" w:gutter="0"/>
          <w:cols w:num="2" w:space="425"/>
          <w:docGrid w:type="lines" w:linePitch="360"/>
        </w:sectPr>
      </w:pPr>
    </w:p>
    <w:p w14:paraId="37ADC795" w14:textId="3F233F39" w:rsidR="00224B00" w:rsidRPr="00CA6ADB" w:rsidRDefault="00224B00" w:rsidP="0066781A">
      <w:pPr>
        <w:pStyle w:val="a5"/>
        <w:spacing w:line="320" w:lineRule="exact"/>
        <w:ind w:leftChars="0" w:left="420"/>
        <w:jc w:val="left"/>
        <w:rPr>
          <w:sz w:val="20"/>
          <w:szCs w:val="20"/>
        </w:rPr>
      </w:pPr>
    </w:p>
    <w:p w14:paraId="20CE7812" w14:textId="77777777" w:rsidR="00DA5A91" w:rsidRDefault="00DA5A91" w:rsidP="0066781A">
      <w:pPr>
        <w:spacing w:line="320" w:lineRule="exact"/>
        <w:jc w:val="left"/>
      </w:pPr>
    </w:p>
    <w:p w14:paraId="2BE11552" w14:textId="77777777" w:rsidR="00422F1B" w:rsidRDefault="00422F1B" w:rsidP="0066781A">
      <w:pPr>
        <w:spacing w:line="320" w:lineRule="exact"/>
        <w:jc w:val="left"/>
      </w:pPr>
    </w:p>
    <w:p w14:paraId="74FBA8E7" w14:textId="77777777" w:rsidR="00422F1B" w:rsidRDefault="00422F1B" w:rsidP="0066781A">
      <w:pPr>
        <w:spacing w:line="320" w:lineRule="exact"/>
        <w:jc w:val="left"/>
      </w:pPr>
      <w:commentRangeStart w:id="2"/>
      <w:r>
        <w:rPr>
          <w:rFonts w:hint="eastAsia"/>
        </w:rPr>
        <w:lastRenderedPageBreak/>
        <w:t>20●●年●月●日</w:t>
      </w:r>
      <w:commentRangeEnd w:id="2"/>
      <w:r w:rsidR="00C018FC">
        <w:rPr>
          <w:rStyle w:val="aa"/>
        </w:rPr>
        <w:commentReference w:id="2"/>
      </w:r>
    </w:p>
    <w:p w14:paraId="758B9602" w14:textId="77777777" w:rsidR="00422F1B" w:rsidRDefault="00422F1B" w:rsidP="0066781A">
      <w:pPr>
        <w:spacing w:line="320" w:lineRule="exact"/>
        <w:jc w:val="left"/>
      </w:pPr>
    </w:p>
    <w:p w14:paraId="0706C0BE" w14:textId="73EBA730" w:rsidR="00422F1B" w:rsidRDefault="00422F1B" w:rsidP="0066781A">
      <w:pPr>
        <w:spacing w:line="320" w:lineRule="exact"/>
        <w:jc w:val="right"/>
      </w:pPr>
      <w:commentRangeStart w:id="3"/>
      <w:r>
        <w:rPr>
          <w:rFonts w:hint="eastAsia"/>
        </w:rPr>
        <w:t>東京都</w:t>
      </w:r>
      <w:r w:rsidR="00D150ED">
        <w:rPr>
          <w:rFonts w:hint="eastAsia"/>
        </w:rPr>
        <w:t>●●●●●●</w:t>
      </w:r>
      <w:commentRangeEnd w:id="3"/>
      <w:r w:rsidR="00C018FC">
        <w:rPr>
          <w:rStyle w:val="aa"/>
        </w:rPr>
        <w:commentReference w:id="3"/>
      </w:r>
    </w:p>
    <w:p w14:paraId="291CEFCC" w14:textId="1F8CF436" w:rsidR="00422F1B" w:rsidRDefault="00422F1B" w:rsidP="0066781A">
      <w:pPr>
        <w:spacing w:line="320" w:lineRule="exact"/>
        <w:jc w:val="right"/>
      </w:pPr>
      <w:commentRangeStart w:id="4"/>
      <w:r>
        <w:rPr>
          <w:rFonts w:hint="eastAsia"/>
        </w:rPr>
        <w:t>株式会社</w:t>
      </w:r>
      <w:r w:rsidR="00D150ED">
        <w:rPr>
          <w:rFonts w:hint="eastAsia"/>
        </w:rPr>
        <w:t>●●●</w:t>
      </w:r>
      <w:commentRangeEnd w:id="4"/>
      <w:r w:rsidR="00C018FC">
        <w:rPr>
          <w:rStyle w:val="aa"/>
        </w:rPr>
        <w:commentReference w:id="4"/>
      </w:r>
    </w:p>
    <w:p w14:paraId="5FBEF090" w14:textId="6CD0B424" w:rsidR="00DA5A91" w:rsidRDefault="00D150ED" w:rsidP="00956792">
      <w:pPr>
        <w:spacing w:line="320" w:lineRule="exact"/>
        <w:jc w:val="right"/>
      </w:pPr>
      <w:commentRangeStart w:id="5"/>
      <w:r>
        <w:rPr>
          <w:rFonts w:hint="eastAsia"/>
        </w:rPr>
        <w:t>●●</w:t>
      </w:r>
      <w:r w:rsidR="00C018FC">
        <w:rPr>
          <w:rFonts w:hint="eastAsia"/>
        </w:rPr>
        <w:t>事業部長</w:t>
      </w:r>
      <w:r w:rsidR="00422F1B">
        <w:rPr>
          <w:rFonts w:hint="eastAsia"/>
        </w:rPr>
        <w:t xml:space="preserve">　</w:t>
      </w:r>
      <w:r>
        <w:rPr>
          <w:rFonts w:hint="eastAsia"/>
        </w:rPr>
        <w:t>●●●●</w:t>
      </w:r>
      <w:commentRangeEnd w:id="5"/>
      <w:r w:rsidR="00C018FC">
        <w:rPr>
          <w:rStyle w:val="aa"/>
        </w:rPr>
        <w:commentReference w:id="5"/>
      </w:r>
      <w:r w:rsidR="00422F1B">
        <w:rPr>
          <w:rFonts w:hint="eastAsia"/>
        </w:rPr>
        <w:t xml:space="preserve">　</w:t>
      </w:r>
      <w:commentRangeStart w:id="6"/>
      <w:r w:rsidR="00422F1B">
        <w:rPr>
          <w:rFonts w:hint="eastAsia"/>
        </w:rPr>
        <w:t>印</w:t>
      </w:r>
      <w:commentRangeEnd w:id="6"/>
      <w:r w:rsidR="00C018FC">
        <w:rPr>
          <w:rStyle w:val="aa"/>
        </w:rPr>
        <w:commentReference w:id="6"/>
      </w:r>
    </w:p>
    <w:p w14:paraId="1D9BB44E" w14:textId="77777777" w:rsidR="002A73BE" w:rsidRPr="002A73BE" w:rsidRDefault="002A73BE" w:rsidP="002A73BE">
      <w:pPr>
        <w:spacing w:line="320" w:lineRule="exact"/>
      </w:pPr>
    </w:p>
    <w:sectPr w:rsidR="002A73BE" w:rsidRPr="002A73BE" w:rsidSect="0066781A"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成者" w:initials="A">
    <w:p w14:paraId="6DC1F41F" w14:textId="491C022A" w:rsidR="00642F1B" w:rsidRDefault="00642F1B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会社名を正式名称で記入してください。</w:t>
      </w:r>
    </w:p>
  </w:comment>
  <w:comment w:id="2" w:author="作成者" w:initials="A">
    <w:p w14:paraId="295040E9" w14:textId="7C23BD59" w:rsidR="00C018FC" w:rsidRDefault="00C018FC">
      <w:pPr>
        <w:pStyle w:val="ab"/>
      </w:pPr>
      <w:r>
        <w:rPr>
          <w:rStyle w:val="aa"/>
        </w:rPr>
        <w:annotationRef/>
      </w:r>
      <w:r w:rsidR="0066781A">
        <w:rPr>
          <w:rFonts w:hint="eastAsia"/>
        </w:rPr>
        <w:t>同意した</w:t>
      </w:r>
      <w:r>
        <w:rPr>
          <w:rFonts w:hint="eastAsia"/>
        </w:rPr>
        <w:t>日を記入してください。</w:t>
      </w:r>
    </w:p>
  </w:comment>
  <w:comment w:id="3" w:author="作成者" w:initials="A">
    <w:p w14:paraId="0BF6A08B" w14:textId="4A5E26AB" w:rsidR="00C018FC" w:rsidRDefault="00C018F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会社の所在地を記入してください。</w:t>
      </w:r>
    </w:p>
  </w:comment>
  <w:comment w:id="4" w:author="作成者" w:initials="A">
    <w:p w14:paraId="26877B45" w14:textId="0D3C0751" w:rsidR="00C018FC" w:rsidRPr="00C018FC" w:rsidRDefault="00C018F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会社名を正式名称で記入してください。</w:t>
      </w:r>
    </w:p>
  </w:comment>
  <w:comment w:id="5" w:author="作成者" w:initials="A">
    <w:p w14:paraId="506F8ED8" w14:textId="0E44F81D" w:rsidR="00C018FC" w:rsidRDefault="00C018FC">
      <w:pPr>
        <w:pStyle w:val="ab"/>
      </w:pPr>
      <w:r>
        <w:rPr>
          <w:rStyle w:val="aa"/>
        </w:rPr>
        <w:annotationRef/>
      </w:r>
      <w:r w:rsidR="0066781A">
        <w:rPr>
          <w:rFonts w:hint="eastAsia"/>
        </w:rPr>
        <w:t>本同意書い同意した</w:t>
      </w:r>
      <w:r>
        <w:rPr>
          <w:rFonts w:hint="eastAsia"/>
        </w:rPr>
        <w:t>責任者の役職および氏名の記入をしてください。</w:t>
      </w:r>
    </w:p>
  </w:comment>
  <w:comment w:id="6" w:author="作成者" w:initials="A">
    <w:p w14:paraId="40216DD8" w14:textId="0AE83CF4" w:rsidR="00C018FC" w:rsidRDefault="00C018F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押印してください。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C1F41F" w15:done="0"/>
  <w15:commentEx w15:paraId="295040E9" w15:done="0"/>
  <w15:commentEx w15:paraId="0BF6A08B" w15:done="0"/>
  <w15:commentEx w15:paraId="26877B45" w15:done="0"/>
  <w15:commentEx w15:paraId="506F8ED8" w15:done="0"/>
  <w15:commentEx w15:paraId="40216DD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9B0FD" w14:textId="77777777" w:rsidR="007D7A43" w:rsidRDefault="007D7A43" w:rsidP="00422F1B">
      <w:r>
        <w:separator/>
      </w:r>
    </w:p>
  </w:endnote>
  <w:endnote w:type="continuationSeparator" w:id="0">
    <w:p w14:paraId="75ECA79E" w14:textId="77777777" w:rsidR="007D7A43" w:rsidRDefault="007D7A43" w:rsidP="004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F9FB4" w14:textId="77777777" w:rsidR="007D7A43" w:rsidRDefault="007D7A43" w:rsidP="00422F1B">
      <w:r>
        <w:separator/>
      </w:r>
    </w:p>
  </w:footnote>
  <w:footnote w:type="continuationSeparator" w:id="0">
    <w:p w14:paraId="7429327C" w14:textId="77777777" w:rsidR="007D7A43" w:rsidRDefault="007D7A43" w:rsidP="0042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5488" w14:textId="705C1F43" w:rsidR="00837424" w:rsidRDefault="0054388F" w:rsidP="002354E2">
    <w:pPr>
      <w:pStyle w:val="a6"/>
      <w:jc w:val="right"/>
    </w:pPr>
    <w:r w:rsidRPr="0054388F">
      <w:rPr>
        <w:rFonts w:hint="eastAsia"/>
      </w:rPr>
      <w:t>購契</w:t>
    </w:r>
    <w:r w:rsidRPr="0054388F">
      <w:t>07-28-02共</w:t>
    </w:r>
    <w:r w:rsidR="00837424">
      <w:t>(ver.</w:t>
    </w:r>
    <w:r w:rsidR="00837424">
      <w:rPr>
        <w:rFonts w:hint="eastAsia"/>
      </w:rPr>
      <w:t>1</w:t>
    </w:r>
    <w:r w:rsidR="00837424">
      <w:t>.00)</w:t>
    </w:r>
  </w:p>
  <w:p w14:paraId="2206CDA3" w14:textId="77777777" w:rsidR="00837424" w:rsidRDefault="00837424" w:rsidP="002354E2">
    <w:pPr>
      <w:pStyle w:val="a6"/>
      <w:jc w:val="right"/>
    </w:pPr>
    <w:r>
      <w:t>Confidential(機密)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920"/>
    <w:multiLevelType w:val="hybridMultilevel"/>
    <w:tmpl w:val="6A583F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D2227"/>
    <w:multiLevelType w:val="hybridMultilevel"/>
    <w:tmpl w:val="DE1085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876AF3"/>
    <w:multiLevelType w:val="hybridMultilevel"/>
    <w:tmpl w:val="8BA237D0"/>
    <w:lvl w:ilvl="0" w:tplc="5FA0E3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B8ACB5A">
      <w:numFmt w:val="bullet"/>
      <w:lvlText w:val="■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EB4A9C"/>
    <w:multiLevelType w:val="hybridMultilevel"/>
    <w:tmpl w:val="FA7E3610"/>
    <w:lvl w:ilvl="0" w:tplc="5FA0E3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DE33E4"/>
    <w:multiLevelType w:val="hybridMultilevel"/>
    <w:tmpl w:val="12CEC4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006B77"/>
    <w:multiLevelType w:val="hybridMultilevel"/>
    <w:tmpl w:val="3B885282"/>
    <w:lvl w:ilvl="0" w:tplc="9D44A8B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DE2C6E"/>
    <w:multiLevelType w:val="hybridMultilevel"/>
    <w:tmpl w:val="993E5320"/>
    <w:lvl w:ilvl="0" w:tplc="8CE0EB4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30"/>
    <w:rsid w:val="00017B53"/>
    <w:rsid w:val="00040E96"/>
    <w:rsid w:val="00047E3C"/>
    <w:rsid w:val="00077F26"/>
    <w:rsid w:val="000B7DBB"/>
    <w:rsid w:val="000F0966"/>
    <w:rsid w:val="00146A10"/>
    <w:rsid w:val="001B3DB5"/>
    <w:rsid w:val="001C61C6"/>
    <w:rsid w:val="00224B00"/>
    <w:rsid w:val="002354E2"/>
    <w:rsid w:val="00255CDE"/>
    <w:rsid w:val="002A73BE"/>
    <w:rsid w:val="0030079B"/>
    <w:rsid w:val="0034583C"/>
    <w:rsid w:val="003F787A"/>
    <w:rsid w:val="00417EF0"/>
    <w:rsid w:val="00422F1B"/>
    <w:rsid w:val="00431161"/>
    <w:rsid w:val="004542CB"/>
    <w:rsid w:val="004F0492"/>
    <w:rsid w:val="0054388F"/>
    <w:rsid w:val="00553A1B"/>
    <w:rsid w:val="0055603A"/>
    <w:rsid w:val="005730CD"/>
    <w:rsid w:val="005E0200"/>
    <w:rsid w:val="005F7CE4"/>
    <w:rsid w:val="00642F1B"/>
    <w:rsid w:val="00647D5B"/>
    <w:rsid w:val="00660530"/>
    <w:rsid w:val="0066781A"/>
    <w:rsid w:val="00690A80"/>
    <w:rsid w:val="00696F93"/>
    <w:rsid w:val="006D7F74"/>
    <w:rsid w:val="007247CC"/>
    <w:rsid w:val="00746C16"/>
    <w:rsid w:val="00773C52"/>
    <w:rsid w:val="007D7A43"/>
    <w:rsid w:val="00837424"/>
    <w:rsid w:val="0085076B"/>
    <w:rsid w:val="00855AD4"/>
    <w:rsid w:val="00871EE4"/>
    <w:rsid w:val="00885304"/>
    <w:rsid w:val="008B57E3"/>
    <w:rsid w:val="008F2EA3"/>
    <w:rsid w:val="00906535"/>
    <w:rsid w:val="009268A4"/>
    <w:rsid w:val="00956792"/>
    <w:rsid w:val="00970312"/>
    <w:rsid w:val="00983B1D"/>
    <w:rsid w:val="00A217ED"/>
    <w:rsid w:val="00A575B2"/>
    <w:rsid w:val="00A8649B"/>
    <w:rsid w:val="00AB39AF"/>
    <w:rsid w:val="00AD2BF6"/>
    <w:rsid w:val="00BF4DC7"/>
    <w:rsid w:val="00C018FC"/>
    <w:rsid w:val="00C06D9A"/>
    <w:rsid w:val="00C31E52"/>
    <w:rsid w:val="00CA6ADB"/>
    <w:rsid w:val="00D13277"/>
    <w:rsid w:val="00D150ED"/>
    <w:rsid w:val="00DA5A91"/>
    <w:rsid w:val="00F30EEE"/>
    <w:rsid w:val="00F33805"/>
    <w:rsid w:val="00F51546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E49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A91"/>
    <w:pPr>
      <w:widowControl/>
      <w:spacing w:after="240"/>
      <w:ind w:firstLine="1440"/>
      <w:jc w:val="left"/>
    </w:pPr>
    <w:rPr>
      <w:rFonts w:ascii="Times New Roman" w:eastAsia="ＭＳ 明朝" w:hAnsi="Times New Roman" w:cs="Times New Roman"/>
      <w:snapToGrid w:val="0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rsid w:val="00DA5A91"/>
    <w:rPr>
      <w:rFonts w:ascii="Times New Roman" w:eastAsia="ＭＳ 明朝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3380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22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F1B"/>
  </w:style>
  <w:style w:type="paragraph" w:styleId="a8">
    <w:name w:val="footer"/>
    <w:basedOn w:val="a"/>
    <w:link w:val="a9"/>
    <w:uiPriority w:val="99"/>
    <w:unhideWhenUsed/>
    <w:rsid w:val="00422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F1B"/>
  </w:style>
  <w:style w:type="character" w:styleId="aa">
    <w:name w:val="annotation reference"/>
    <w:basedOn w:val="a0"/>
    <w:uiPriority w:val="99"/>
    <w:semiHidden/>
    <w:unhideWhenUsed/>
    <w:rsid w:val="00C06D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06D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06D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06D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06D9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06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06D9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224B00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24B00"/>
  </w:style>
  <w:style w:type="character" w:styleId="af3">
    <w:name w:val="Hyperlink"/>
    <w:basedOn w:val="a0"/>
    <w:uiPriority w:val="99"/>
    <w:unhideWhenUsed/>
    <w:rsid w:val="004F0492"/>
    <w:rPr>
      <w:color w:val="0563C1" w:themeColor="hyperlink"/>
      <w:u w:val="single"/>
    </w:rPr>
  </w:style>
  <w:style w:type="paragraph" w:styleId="af4">
    <w:name w:val="Date"/>
    <w:basedOn w:val="a"/>
    <w:next w:val="a"/>
    <w:link w:val="af5"/>
    <w:uiPriority w:val="99"/>
    <w:semiHidden/>
    <w:unhideWhenUsed/>
    <w:rsid w:val="008B57E3"/>
  </w:style>
  <w:style w:type="character" w:customStyle="1" w:styleId="af5">
    <w:name w:val="日付 (文字)"/>
    <w:basedOn w:val="a0"/>
    <w:link w:val="af4"/>
    <w:uiPriority w:val="99"/>
    <w:semiHidden/>
    <w:rsid w:val="008B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ttdata.com/jp/ja/about-us/proc/procure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ttdata.com/jp/ja/about-us/group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19F6-CEC4-44C7-9CCC-64EF4E82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2022-12-23T04:26:00Z</dcterms:created>
  <dcterms:modified xsi:type="dcterms:W3CDTF">2022-12-23T04:26:00Z</dcterms:modified>
</cp:coreProperties>
</file>